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tabs>
          <w:tab w:val="left" w:pos="426"/>
        </w:tabs>
        <w:jc w:val="both"/>
        <w:rPr>
          <w:rFonts w:ascii="Arial" w:hAnsi="Arial" w:cs="Arial"/>
          <w:sz w:val="22"/>
          <w:szCs w:val="22"/>
          <w:lang w:val="es-MX"/>
        </w:rPr>
      </w:pPr>
      <w:bookmarkStart w:id="0" w:name="_GoBack"/>
      <w:bookmarkEnd w:id="0"/>
    </w:p>
    <w:p w:rsidR="002B7E4F" w:rsidRPr="002B7E4F" w:rsidRDefault="002B7E4F" w:rsidP="002B7E4F">
      <w:pPr>
        <w:jc w:val="both"/>
        <w:rPr>
          <w:rFonts w:ascii="Arial" w:hAnsi="Arial" w:cs="Arial"/>
          <w:b/>
          <w:sz w:val="22"/>
          <w:szCs w:val="22"/>
        </w:rPr>
      </w:pPr>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125</w:t>
      </w:r>
      <w:r w:rsidR="00690EBC">
        <w:rPr>
          <w:rFonts w:ascii="Arial" w:hAnsi="Arial" w:cs="Arial"/>
          <w:b/>
          <w:sz w:val="22"/>
          <w:szCs w:val="22"/>
          <w:lang w:val="es-MX"/>
        </w:rPr>
        <w:t>.-</w:t>
      </w:r>
      <w:r w:rsidRPr="002B7E4F">
        <w:rPr>
          <w:rFonts w:ascii="Arial" w:hAnsi="Arial" w:cs="Arial"/>
          <w:b/>
          <w:sz w:val="22"/>
          <w:szCs w:val="22"/>
          <w:lang w:val="es-MX"/>
        </w:rPr>
        <w:t xml:space="preserve"> </w:t>
      </w:r>
      <w:r w:rsidRPr="002B7E4F">
        <w:rPr>
          <w:rFonts w:ascii="Arial" w:hAnsi="Arial" w:cs="Arial"/>
          <w:b/>
          <w:sz w:val="22"/>
          <w:szCs w:val="22"/>
        </w:rPr>
        <w:t>SISTEMA DE CONTROL DISTRIBUIDO TABLEROS BT SECUNDARIOS</w:t>
      </w:r>
    </w:p>
    <w:p w:rsidR="002B7E4F" w:rsidRPr="002B7E4F" w:rsidRDefault="002B7E4F" w:rsidP="002B7E4F">
      <w:pPr>
        <w:tabs>
          <w:tab w:val="left" w:pos="426"/>
        </w:tabs>
        <w:jc w:val="both"/>
        <w:rPr>
          <w:rFonts w:ascii="Arial" w:hAnsi="Arial" w:cs="Arial"/>
          <w:b/>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Suministro, instalación, configuración y comprobación del sistema de control distribuido para los tableros de EBT de la estación, incluyendo el suministro y montaje de los </w:t>
      </w:r>
      <w:proofErr w:type="spellStart"/>
      <w:r w:rsidRPr="002B7E4F">
        <w:rPr>
          <w:rFonts w:ascii="Arial" w:hAnsi="Arial" w:cs="Arial"/>
          <w:sz w:val="22"/>
          <w:szCs w:val="22"/>
        </w:rPr>
        <w:t>PLC's</w:t>
      </w:r>
      <w:proofErr w:type="spellEnd"/>
      <w:r w:rsidRPr="002B7E4F">
        <w:rPr>
          <w:rFonts w:ascii="Arial" w:hAnsi="Arial" w:cs="Arial"/>
          <w:sz w:val="22"/>
          <w:szCs w:val="22"/>
        </w:rPr>
        <w:t xml:space="preserve"> dedicados a cada tablero secundario BT, incluyendo pequeño material, integración en el Sistema de Telemando de la estación (TES) y pruebas, así como la integración de los tableros inteligentes de alumbrado en el Sistema Integrado de Control Distribuido de  BT e integración en TES. Se incluye la parte proporcional de tableros de mando y protección, cableado de control y la implantación de sinópticos y todos los enclavamientos eléctricos y lógicos. Según especificaciones.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7"/>
        </w:numPr>
        <w:rPr>
          <w:rFonts w:ascii="Arial" w:hAnsi="Arial" w:cs="Arial"/>
          <w:b/>
          <w:sz w:val="22"/>
          <w:szCs w:val="22"/>
        </w:rPr>
      </w:pPr>
      <w:bookmarkStart w:id="1" w:name="_Toc368070036"/>
      <w:r w:rsidRPr="002B7E4F">
        <w:rPr>
          <w:rFonts w:ascii="Arial" w:hAnsi="Arial" w:cs="Arial"/>
          <w:b/>
          <w:sz w:val="22"/>
          <w:szCs w:val="22"/>
        </w:rPr>
        <w:t>Características Técnicas</w:t>
      </w:r>
      <w:bookmarkEnd w:id="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tableros del sistema EBT deberán integrarse al Sistema de Telemando de la estación (TES). Para ello se desarrollará un sistema de Control que permita la gestión de los diferentes equipos desde el 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sistema de control distribuido estará formado por </w:t>
      </w:r>
      <w:proofErr w:type="spellStart"/>
      <w:r w:rsidRPr="002B7E4F">
        <w:rPr>
          <w:rFonts w:ascii="Arial" w:hAnsi="Arial" w:cs="Arial"/>
          <w:sz w:val="22"/>
          <w:szCs w:val="22"/>
        </w:rPr>
        <w:t>PLC’s</w:t>
      </w:r>
      <w:proofErr w:type="spellEnd"/>
      <w:r w:rsidRPr="002B7E4F">
        <w:rPr>
          <w:rFonts w:ascii="Arial" w:hAnsi="Arial" w:cs="Arial"/>
          <w:sz w:val="22"/>
          <w:szCs w:val="22"/>
        </w:rPr>
        <w:t xml:space="preserve"> dedicados, que recogerán las señales de los tableros secundarios de distribución eléctrica. El concepto incluye todos los </w:t>
      </w:r>
      <w:proofErr w:type="spellStart"/>
      <w:r w:rsidRPr="002B7E4F">
        <w:rPr>
          <w:rFonts w:ascii="Arial" w:hAnsi="Arial" w:cs="Arial"/>
          <w:sz w:val="22"/>
          <w:szCs w:val="22"/>
        </w:rPr>
        <w:t>PLC’s</w:t>
      </w:r>
      <w:proofErr w:type="spellEnd"/>
      <w:r w:rsidRPr="002B7E4F">
        <w:rPr>
          <w:rFonts w:ascii="Arial" w:hAnsi="Arial" w:cs="Arial"/>
          <w:sz w:val="22"/>
          <w:szCs w:val="22"/>
        </w:rPr>
        <w:t xml:space="preserve"> necesarios, fuentes de alimentación y puertos Ethernet, así como todo el cableado de control entre los diferentes dispositivos.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características concretas de los </w:t>
      </w:r>
      <w:proofErr w:type="spellStart"/>
      <w:r w:rsidRPr="002B7E4F">
        <w:rPr>
          <w:rFonts w:ascii="Arial" w:hAnsi="Arial" w:cs="Arial"/>
          <w:sz w:val="22"/>
          <w:szCs w:val="22"/>
        </w:rPr>
        <w:t>PLC’s</w:t>
      </w:r>
      <w:proofErr w:type="spellEnd"/>
      <w:r w:rsidRPr="002B7E4F">
        <w:rPr>
          <w:rFonts w:ascii="Arial" w:hAnsi="Arial" w:cs="Arial"/>
          <w:sz w:val="22"/>
          <w:szCs w:val="22"/>
        </w:rPr>
        <w:t xml:space="preserve"> se determinarán en función de las entradas/salidas que han de controlar y el protocolo de comunicación necesario.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número de señales se coordinará con el TES.  Como mínimo, se recogerá el estado de todos los circuitos de los tableros secundarios instalados en la sala BT y el estado de los interruptores generales de los tableros secundarios EBT que ubicados en otras salas de la estación. También se recogerán las señales del tablero de control de alumbrado de la estación así como las órdenes para actuar sobre el encendido/apagado del alumbrado.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Cada PLC dispondrá de los módulos de entradas/salidas digitales y entradas analógicas necesarios para gestionar el número de entradas analógicas (EA), entradas digitales (ED) y salidas digitales (SD) indicadas necesarias, teniendo en cuenta que deberá preverse una reserva del 30% en cada tipo de módulo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En caso de no poder instalar los </w:t>
      </w:r>
      <w:proofErr w:type="spellStart"/>
      <w:r w:rsidRPr="002B7E4F">
        <w:rPr>
          <w:rFonts w:ascii="Arial" w:hAnsi="Arial" w:cs="Arial"/>
          <w:sz w:val="22"/>
          <w:szCs w:val="22"/>
        </w:rPr>
        <w:t>PLC’s</w:t>
      </w:r>
      <w:proofErr w:type="spellEnd"/>
      <w:r w:rsidRPr="002B7E4F">
        <w:rPr>
          <w:rFonts w:ascii="Arial" w:hAnsi="Arial" w:cs="Arial"/>
          <w:sz w:val="22"/>
          <w:szCs w:val="22"/>
        </w:rPr>
        <w:t xml:space="preserve"> en el tablero secundario, estos se instalarán en un tablero con los borneros necesarios para la conexión de las diferentes señales. Igualmente, el dispondrá de fuente de alimentación y barra de puesta a tierra.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En la sala de BT se instalará un PLC concentrador el cual recibirá todas las señales de los tableros secundarios de la estación y las comunicará con el 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características de los </w:t>
      </w:r>
      <w:proofErr w:type="spellStart"/>
      <w:r w:rsidRPr="002B7E4F">
        <w:rPr>
          <w:rFonts w:ascii="Arial" w:hAnsi="Arial" w:cs="Arial"/>
          <w:sz w:val="22"/>
          <w:szCs w:val="22"/>
        </w:rPr>
        <w:t>PLC’s</w:t>
      </w:r>
      <w:proofErr w:type="spellEnd"/>
      <w:r w:rsidRPr="002B7E4F">
        <w:rPr>
          <w:rFonts w:ascii="Arial" w:hAnsi="Arial" w:cs="Arial"/>
          <w:sz w:val="22"/>
          <w:szCs w:val="22"/>
        </w:rPr>
        <w:t xml:space="preserve"> serán similares a las utilizadas den otros sistemas del CDG.</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el cableado de alimentación eléctrica utilizado para la energización. Dicho cableado vendrá definido por las características técnicas del subsistema de Energía de Baja Tensión (EBT) que se encuentra en el Proyecto del sistema de Alimentación y Distribución de la Energía. Se incluirá la parte proporcional de canalización eléctrica necesaria así como los contactos y elementos auxiliares eléctricos necesarios.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Igualmente, se incluye el cableado de control para su conexión con la Red de Datos </w:t>
      </w:r>
      <w:proofErr w:type="spellStart"/>
      <w:r w:rsidRPr="002B7E4F">
        <w:rPr>
          <w:rFonts w:ascii="Arial" w:hAnsi="Arial" w:cs="Arial"/>
          <w:sz w:val="22"/>
          <w:szCs w:val="22"/>
        </w:rPr>
        <w:t>Multiservicio</w:t>
      </w:r>
      <w:proofErr w:type="spellEnd"/>
      <w:r w:rsidRPr="002B7E4F">
        <w:rPr>
          <w:rFonts w:ascii="Arial" w:hAnsi="Arial" w:cs="Arial"/>
          <w:sz w:val="22"/>
          <w:szCs w:val="22"/>
        </w:rPr>
        <w:t>, perteneciente al Proyecto de Sistema de Telecomunicaciones, y así comunicarse con el Mando y Control de Estaciones (TES). Dicho cableado vendrá definido por las características técnicas del subsistema de Red de Nivel Físico que se encuentra en Proyecto de Sistema de Telecomunicaciones. Se incluirá la parte proporcional de canalización necesaria así como los terminales y elementos auxiliares necesarios.</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462F48">
      <w:pPr>
        <w:pStyle w:val="TITULO-3"/>
        <w:numPr>
          <w:ilvl w:val="2"/>
          <w:numId w:val="57"/>
        </w:numPr>
        <w:rPr>
          <w:rFonts w:ascii="Arial" w:hAnsi="Arial" w:cs="Arial"/>
          <w:b/>
          <w:sz w:val="22"/>
          <w:szCs w:val="22"/>
        </w:rPr>
      </w:pPr>
      <w:bookmarkStart w:id="2" w:name="_Toc368070037"/>
      <w:r w:rsidRPr="002B7E4F">
        <w:rPr>
          <w:rFonts w:ascii="Arial" w:hAnsi="Arial" w:cs="Arial"/>
          <w:b/>
          <w:sz w:val="22"/>
          <w:szCs w:val="22"/>
        </w:rPr>
        <w:t>Ejecución de Obra</w:t>
      </w:r>
      <w:bookmarkEnd w:id="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contratista deberá proceder a la recopilación de información sobre el protocolo de comunicaciones a utilizar, así como las señales necesarias a transmitir.</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Acorde a la información obtenida, deberá proceder al diseño y presentación de una propuesta del sistema de control distribuido de EBT.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Esta propuesta se deberá ceñir a los requerimientos funcionales y técnicos definidos en el presente proyecto. La propuesta deberá considerar el suministro y configuración de todos los equipos necesarios en cada estación.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Una vez la Dirección de Obra haya aprobado la propuesta, ésta será ejecutada por el contratista.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autoSpaceDE w:val="0"/>
        <w:autoSpaceDN w:val="0"/>
        <w:adjustRightInd w:val="0"/>
        <w:jc w:val="both"/>
        <w:rPr>
          <w:rFonts w:ascii="Arial" w:eastAsia="SymbolMT" w:hAnsi="Arial" w:cs="Arial"/>
          <w:sz w:val="22"/>
          <w:szCs w:val="22"/>
        </w:rPr>
      </w:pPr>
      <w:r w:rsidRPr="002B7E4F">
        <w:rPr>
          <w:rFonts w:ascii="Arial" w:eastAsia="SymbolMT" w:hAnsi="Arial" w:cs="Arial"/>
          <w:sz w:val="22"/>
          <w:szCs w:val="22"/>
        </w:rPr>
        <w:t>La ejecución de la instalación incluye las siguientes operaciones: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Comprobación de que todo el equipamiento suministrado corresponde con las especificaciones técnicas definidas.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Colocación de </w:t>
      </w:r>
      <w:proofErr w:type="spellStart"/>
      <w:r w:rsidRPr="002B7E4F">
        <w:rPr>
          <w:rFonts w:ascii="Arial" w:hAnsi="Arial" w:cs="Arial"/>
          <w:sz w:val="22"/>
          <w:szCs w:val="22"/>
        </w:rPr>
        <w:t>PLC’s</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Conexión de la alimentación.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Conexión del cableado de control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Conexión a la LAN pertinente.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Comprobación del correcto funcionamiento de todo 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Puesta en servicio.</w:t>
      </w:r>
    </w:p>
    <w:p w:rsidR="002B7E4F" w:rsidRPr="002B7E4F" w:rsidRDefault="002B7E4F" w:rsidP="00462F48">
      <w:pPr>
        <w:pStyle w:val="TITULO-3"/>
        <w:numPr>
          <w:ilvl w:val="2"/>
          <w:numId w:val="57"/>
        </w:numPr>
        <w:rPr>
          <w:rFonts w:ascii="Arial" w:hAnsi="Arial" w:cs="Arial"/>
          <w:b/>
          <w:sz w:val="22"/>
          <w:szCs w:val="22"/>
        </w:rPr>
      </w:pPr>
      <w:bookmarkStart w:id="3" w:name="_Toc368070038"/>
      <w:r w:rsidRPr="002B7E4F">
        <w:rPr>
          <w:rFonts w:ascii="Arial" w:hAnsi="Arial" w:cs="Arial"/>
          <w:b/>
          <w:sz w:val="22"/>
          <w:szCs w:val="22"/>
        </w:rPr>
        <w:lastRenderedPageBreak/>
        <w:t>Medición</w:t>
      </w:r>
      <w:bookmarkEnd w:id="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7"/>
        </w:numPr>
        <w:rPr>
          <w:rFonts w:ascii="Arial" w:hAnsi="Arial" w:cs="Arial"/>
          <w:b/>
          <w:sz w:val="22"/>
          <w:szCs w:val="22"/>
        </w:rPr>
      </w:pPr>
      <w:bookmarkStart w:id="4" w:name="_Toc368070039"/>
      <w:r w:rsidRPr="002B7E4F">
        <w:rPr>
          <w:rFonts w:ascii="Arial" w:hAnsi="Arial" w:cs="Arial"/>
          <w:b/>
          <w:sz w:val="22"/>
          <w:szCs w:val="22"/>
        </w:rPr>
        <w:t>Pruebas y Ensayo</w:t>
      </w:r>
      <w:bookmarkEnd w:id="4"/>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redundancias y alta disponibilidad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2B7E4F" w:rsidRPr="002B7E4F" w:rsidRDefault="002B7E4F" w:rsidP="00462F48">
      <w:pPr>
        <w:pStyle w:val="TITULO-3"/>
        <w:numPr>
          <w:ilvl w:val="2"/>
          <w:numId w:val="57"/>
        </w:numPr>
        <w:rPr>
          <w:rFonts w:ascii="Arial" w:hAnsi="Arial" w:cs="Arial"/>
          <w:b/>
          <w:sz w:val="22"/>
          <w:szCs w:val="22"/>
        </w:rPr>
      </w:pPr>
      <w:bookmarkStart w:id="5" w:name="_Toc368070040"/>
      <w:r w:rsidRPr="002B7E4F">
        <w:rPr>
          <w:rFonts w:ascii="Arial" w:hAnsi="Arial" w:cs="Arial"/>
          <w:b/>
          <w:sz w:val="22"/>
          <w:szCs w:val="22"/>
        </w:rPr>
        <w:t>Base de Pago</w:t>
      </w:r>
      <w:bookmarkEnd w:id="5"/>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sectPr w:rsidR="002B7E4F" w:rsidRP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SymbolMT">
    <w:altName w:val="MS Mincho"/>
    <w:panose1 w:val="00000000000000000000"/>
    <w:charset w:val="80"/>
    <w:family w:val="auto"/>
    <w:notTrueType/>
    <w:pitch w:val="default"/>
    <w:sig w:usb0="00000001" w:usb1="080F0000" w:usb2="00000010" w:usb3="00000000" w:csb0="001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697898">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2705"/>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469D"/>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3A9C"/>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373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4E48"/>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D2A"/>
    <w:rsid w:val="00690EBC"/>
    <w:rsid w:val="00691B32"/>
    <w:rsid w:val="00691C81"/>
    <w:rsid w:val="0069457A"/>
    <w:rsid w:val="00694676"/>
    <w:rsid w:val="00694E32"/>
    <w:rsid w:val="00697898"/>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747FD"/>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3A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38C"/>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A07"/>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68A36F-A69D-42CC-8803-FD885A506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862</Words>
  <Characters>4747</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5598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2014-04-10T22:46:00Z</dcterms:created>
  <dcterms:modified xsi:type="dcterms:W3CDTF">2014-04-10T22:46:00Z</dcterms:modified>
</cp:coreProperties>
</file>